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C1C182" w14:textId="0292152E" w:rsidR="00D12DDE" w:rsidRDefault="004B2CC9">
      <w:hyperlink r:id="rId4" w:history="1">
        <w:r w:rsidRPr="00A6635C">
          <w:rPr>
            <w:rStyle w:val="a3"/>
          </w:rPr>
          <w:t>https://edunion.ru/feed/4800-vyshla-novaya-gazeta-/</w:t>
        </w:r>
      </w:hyperlink>
      <w:r>
        <w:t xml:space="preserve"> </w:t>
      </w:r>
      <w:bookmarkStart w:id="0" w:name="_GoBack"/>
      <w:bookmarkEnd w:id="0"/>
    </w:p>
    <w:sectPr w:rsidR="00D12D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3A1"/>
    <w:rsid w:val="002833A1"/>
    <w:rsid w:val="004B2CC9"/>
    <w:rsid w:val="00D1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692B0C"/>
  <w15:chartTrackingRefBased/>
  <w15:docId w15:val="{A4E11C7F-91D4-4144-9735-38AE9A6FA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B2CC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B2C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nion.ru/feed/4800-vyshla-novaya-gazeta-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2025-02-12T10:36:00Z</dcterms:created>
  <dcterms:modified xsi:type="dcterms:W3CDTF">2025-02-12T10:36:00Z</dcterms:modified>
</cp:coreProperties>
</file>